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706" w:rsidRDefault="00331E56" w:rsidP="00D17291">
      <w:pPr>
        <w:widowControl/>
        <w:spacing w:line="440" w:lineRule="exact"/>
        <w:jc w:val="center"/>
        <w:rPr>
          <w:rFonts w:ascii="方正小标宋_GBK" w:eastAsia="方正小标宋_GBK" w:hAnsi="宋体" w:cs="方正小标宋_GBK"/>
          <w:bCs/>
          <w:kern w:val="0"/>
          <w:sz w:val="36"/>
          <w:szCs w:val="36"/>
        </w:rPr>
      </w:pPr>
      <w:r w:rsidRPr="004E6648">
        <w:rPr>
          <w:rFonts w:ascii="方正小标宋_GBK" w:eastAsia="方正小标宋_GBK" w:hAnsi="宋体" w:cs="方正小标宋_GBK"/>
          <w:bCs/>
          <w:kern w:val="0"/>
          <w:sz w:val="36"/>
          <w:szCs w:val="36"/>
        </w:rPr>
        <w:t>2018</w:t>
      </w:r>
      <w:r w:rsidRPr="004E6648">
        <w:rPr>
          <w:rFonts w:ascii="方正小标宋_GBK" w:eastAsia="方正小标宋_GBK" w:hAnsi="宋体" w:cs="方正小标宋_GBK" w:hint="eastAsia"/>
          <w:bCs/>
          <w:kern w:val="0"/>
          <w:sz w:val="36"/>
          <w:szCs w:val="36"/>
        </w:rPr>
        <w:t>年度申报教师、实验系列高级专业技术资格</w:t>
      </w:r>
    </w:p>
    <w:p w:rsidR="00331E56" w:rsidRPr="004E6648" w:rsidRDefault="00331E56" w:rsidP="00D17291">
      <w:pPr>
        <w:widowControl/>
        <w:spacing w:line="440" w:lineRule="exact"/>
        <w:jc w:val="center"/>
        <w:rPr>
          <w:rFonts w:ascii="方正仿宋_GBK" w:eastAsia="方正仿宋_GBK" w:hAnsi="宋体" w:cs="Times New Roman"/>
          <w:b/>
          <w:bCs/>
          <w:color w:val="333333"/>
          <w:kern w:val="0"/>
          <w:sz w:val="36"/>
          <w:szCs w:val="36"/>
        </w:rPr>
      </w:pPr>
      <w:r w:rsidRPr="004E6648">
        <w:rPr>
          <w:rFonts w:ascii="方正小标宋_GBK" w:eastAsia="方正小标宋_GBK" w:hAnsi="宋体" w:cs="方正小标宋_GBK" w:hint="eastAsia"/>
          <w:bCs/>
          <w:kern w:val="0"/>
          <w:sz w:val="36"/>
          <w:szCs w:val="36"/>
        </w:rPr>
        <w:t>代表作鉴定和相似性检测材料有关要求</w:t>
      </w:r>
    </w:p>
    <w:p w:rsidR="00331E56" w:rsidRDefault="00331E56" w:rsidP="00D17291">
      <w:pPr>
        <w:spacing w:line="440" w:lineRule="exact"/>
        <w:rPr>
          <w:rFonts w:ascii="方正仿宋_GBK" w:eastAsia="方正仿宋_GBK" w:cs="方正仿宋_GBK"/>
          <w:sz w:val="28"/>
          <w:szCs w:val="28"/>
        </w:rPr>
      </w:pPr>
    </w:p>
    <w:p w:rsidR="00331E56" w:rsidRPr="004E6648" w:rsidRDefault="00331E56" w:rsidP="00347452">
      <w:pPr>
        <w:spacing w:line="480" w:lineRule="exact"/>
        <w:ind w:firstLineChars="200" w:firstLine="600"/>
        <w:rPr>
          <w:rFonts w:ascii="方正仿宋_GBK" w:eastAsia="方正仿宋_GBK" w:cs="Times New Roman"/>
          <w:sz w:val="30"/>
          <w:szCs w:val="30"/>
        </w:rPr>
      </w:pPr>
      <w:r w:rsidRPr="004E6648">
        <w:rPr>
          <w:rFonts w:ascii="方正仿宋_GBK" w:eastAsia="方正仿宋_GBK" w:cs="方正仿宋_GBK" w:hint="eastAsia"/>
          <w:sz w:val="30"/>
          <w:szCs w:val="30"/>
        </w:rPr>
        <w:t>为做好本年度教师、实验系列高级专业技术资格评审推荐，现就做好代表作同行专家鉴定及相似性检测有关工作提出如下要求：</w:t>
      </w:r>
    </w:p>
    <w:p w:rsidR="00331E56" w:rsidRPr="004E6648" w:rsidRDefault="00331E56" w:rsidP="00347452">
      <w:pPr>
        <w:spacing w:line="480" w:lineRule="exact"/>
        <w:ind w:firstLineChars="200" w:firstLine="602"/>
        <w:rPr>
          <w:rFonts w:ascii="方正仿宋_GBK" w:eastAsia="方正仿宋_GBK" w:cs="Times New Roman"/>
          <w:b/>
          <w:bCs/>
          <w:sz w:val="30"/>
          <w:szCs w:val="30"/>
        </w:rPr>
      </w:pPr>
      <w:r w:rsidRPr="004E6648">
        <w:rPr>
          <w:rFonts w:ascii="方正仿宋_GBK" w:eastAsia="方正仿宋_GBK" w:cs="方正仿宋_GBK" w:hint="eastAsia"/>
          <w:b/>
          <w:bCs/>
          <w:sz w:val="30"/>
          <w:szCs w:val="30"/>
        </w:rPr>
        <w:t>一、材料提交对象</w:t>
      </w:r>
    </w:p>
    <w:p w:rsidR="00331E56" w:rsidRPr="004E6648" w:rsidRDefault="00331E56" w:rsidP="00347452">
      <w:pPr>
        <w:spacing w:line="480" w:lineRule="exact"/>
        <w:ind w:firstLineChars="200" w:firstLine="600"/>
        <w:rPr>
          <w:rFonts w:ascii="方正仿宋_GBK" w:eastAsia="方正仿宋_GBK" w:cs="Times New Roman"/>
          <w:color w:val="FF0000"/>
          <w:sz w:val="30"/>
          <w:szCs w:val="30"/>
        </w:rPr>
      </w:pPr>
      <w:r w:rsidRPr="004E6648">
        <w:rPr>
          <w:rFonts w:ascii="方正仿宋_GBK" w:eastAsia="方正仿宋_GBK" w:cs="方正仿宋_GBK" w:hint="eastAsia"/>
          <w:sz w:val="30"/>
          <w:szCs w:val="30"/>
        </w:rPr>
        <w:t>本年申报教师、实验系列高级专业技术职务任职资格人员。</w:t>
      </w:r>
    </w:p>
    <w:p w:rsidR="00331E56" w:rsidRPr="004E6648" w:rsidRDefault="00331E56" w:rsidP="00347452">
      <w:pPr>
        <w:spacing w:line="480" w:lineRule="exact"/>
        <w:ind w:firstLineChars="200" w:firstLine="602"/>
        <w:rPr>
          <w:rFonts w:ascii="方正仿宋_GBK" w:eastAsia="方正仿宋_GBK" w:cs="Times New Roman"/>
          <w:b/>
          <w:bCs/>
          <w:sz w:val="30"/>
          <w:szCs w:val="30"/>
        </w:rPr>
      </w:pPr>
      <w:r w:rsidRPr="004E6648">
        <w:rPr>
          <w:rFonts w:ascii="方正仿宋_GBK" w:eastAsia="方正仿宋_GBK" w:cs="方正仿宋_GBK" w:hint="eastAsia"/>
          <w:b/>
          <w:bCs/>
          <w:sz w:val="30"/>
          <w:szCs w:val="30"/>
        </w:rPr>
        <w:t>二、材料提交要求</w:t>
      </w:r>
    </w:p>
    <w:p w:rsidR="00331E56" w:rsidRPr="004E6648" w:rsidRDefault="00331E56" w:rsidP="00347452">
      <w:pPr>
        <w:spacing w:line="480" w:lineRule="exact"/>
        <w:ind w:firstLineChars="200" w:firstLine="600"/>
        <w:rPr>
          <w:rFonts w:ascii="方正仿宋_GBK" w:eastAsia="方正仿宋_GBK" w:cs="Times New Roman"/>
          <w:sz w:val="30"/>
          <w:szCs w:val="30"/>
        </w:rPr>
      </w:pPr>
      <w:r w:rsidRPr="004E6648">
        <w:rPr>
          <w:rFonts w:ascii="方正仿宋_GBK" w:eastAsia="方正仿宋_GBK" w:cs="方正仿宋_GBK" w:hint="eastAsia"/>
          <w:sz w:val="30"/>
          <w:szCs w:val="30"/>
        </w:rPr>
        <w:t>（一）同行专家鉴定</w:t>
      </w:r>
    </w:p>
    <w:p w:rsidR="00331E56" w:rsidRPr="004E6648" w:rsidRDefault="00331E56" w:rsidP="00347452">
      <w:pPr>
        <w:spacing w:line="480" w:lineRule="exact"/>
        <w:ind w:firstLineChars="200" w:firstLine="600"/>
        <w:rPr>
          <w:rFonts w:ascii="方正仿宋_GBK" w:eastAsia="方正仿宋_GBK" w:cs="Times New Roman"/>
          <w:sz w:val="30"/>
          <w:szCs w:val="30"/>
        </w:rPr>
      </w:pPr>
      <w:r w:rsidRPr="004E6648">
        <w:rPr>
          <w:rFonts w:ascii="方正仿宋_GBK" w:eastAsia="方正仿宋_GBK" w:cs="方正仿宋_GBK"/>
          <w:sz w:val="30"/>
          <w:szCs w:val="30"/>
        </w:rPr>
        <w:t>1.</w:t>
      </w:r>
      <w:r w:rsidRPr="004E6648">
        <w:rPr>
          <w:rFonts w:ascii="方正仿宋_GBK" w:eastAsia="方正仿宋_GBK" w:cs="方正仿宋_GBK" w:hint="eastAsia"/>
          <w:sz w:val="30"/>
          <w:szCs w:val="30"/>
        </w:rPr>
        <w:t>以学术论文作为申报评审条件，申报教授人员应提交鉴定代表作</w:t>
      </w:r>
      <w:r w:rsidRPr="004E6648">
        <w:rPr>
          <w:rFonts w:ascii="方正仿宋_GBK" w:eastAsia="方正仿宋_GBK" w:cs="方正仿宋_GBK"/>
          <w:sz w:val="30"/>
          <w:szCs w:val="30"/>
        </w:rPr>
        <w:t>3</w:t>
      </w:r>
      <w:r w:rsidRPr="004E6648">
        <w:rPr>
          <w:rFonts w:ascii="方正仿宋_GBK" w:eastAsia="方正仿宋_GBK" w:cs="方正仿宋_GBK" w:hint="eastAsia"/>
          <w:sz w:val="30"/>
          <w:szCs w:val="30"/>
        </w:rPr>
        <w:t>篇，拟申报副教授、高级实验师人员应提交鉴定代表作</w:t>
      </w:r>
      <w:r w:rsidRPr="004E6648">
        <w:rPr>
          <w:rFonts w:ascii="方正仿宋_GBK" w:eastAsia="方正仿宋_GBK" w:cs="方正仿宋_GBK"/>
          <w:sz w:val="30"/>
          <w:szCs w:val="30"/>
        </w:rPr>
        <w:t>2</w:t>
      </w:r>
      <w:r w:rsidRPr="004E6648">
        <w:rPr>
          <w:rFonts w:ascii="方正仿宋_GBK" w:eastAsia="方正仿宋_GBK" w:cs="方正仿宋_GBK" w:hint="eastAsia"/>
          <w:sz w:val="30"/>
          <w:szCs w:val="30"/>
        </w:rPr>
        <w:t>篇；以学术专著作为申报评审条件之一，申报教授、副教授、高级实验师鉴定论著、论文各</w:t>
      </w:r>
      <w:r w:rsidRPr="004E6648">
        <w:rPr>
          <w:rFonts w:ascii="方正仿宋_GBK" w:eastAsia="方正仿宋_GBK" w:cs="方正仿宋_GBK"/>
          <w:sz w:val="30"/>
          <w:szCs w:val="30"/>
        </w:rPr>
        <w:t>1</w:t>
      </w:r>
      <w:r w:rsidRPr="004E6648">
        <w:rPr>
          <w:rFonts w:ascii="方正仿宋_GBK" w:eastAsia="方正仿宋_GBK" w:cs="方正仿宋_GBK" w:hint="eastAsia"/>
          <w:sz w:val="30"/>
          <w:szCs w:val="30"/>
        </w:rPr>
        <w:t>篇（部）；破格申报的分别增加</w:t>
      </w:r>
      <w:r w:rsidRPr="004E6648">
        <w:rPr>
          <w:rFonts w:ascii="方正仿宋_GBK" w:eastAsia="方正仿宋_GBK" w:cs="方正仿宋_GBK"/>
          <w:sz w:val="30"/>
          <w:szCs w:val="30"/>
        </w:rPr>
        <w:t>1</w:t>
      </w:r>
      <w:r w:rsidRPr="004E6648">
        <w:rPr>
          <w:rFonts w:ascii="方正仿宋_GBK" w:eastAsia="方正仿宋_GBK" w:cs="方正仿宋_GBK" w:hint="eastAsia"/>
          <w:sz w:val="30"/>
          <w:szCs w:val="30"/>
        </w:rPr>
        <w:t>篇（部）。</w:t>
      </w:r>
    </w:p>
    <w:p w:rsidR="00331E56" w:rsidRPr="004E6648" w:rsidRDefault="00331E56" w:rsidP="00347452">
      <w:pPr>
        <w:spacing w:line="480" w:lineRule="exact"/>
        <w:ind w:firstLineChars="200" w:firstLine="600"/>
        <w:jc w:val="left"/>
        <w:rPr>
          <w:rFonts w:ascii="方正仿宋_GBK" w:eastAsia="方正仿宋_GBK" w:cs="Times New Roman"/>
          <w:sz w:val="30"/>
          <w:szCs w:val="30"/>
        </w:rPr>
      </w:pPr>
      <w:r w:rsidRPr="004E6648">
        <w:rPr>
          <w:rFonts w:ascii="方正仿宋_GBK" w:eastAsia="方正仿宋_GBK" w:cs="方正仿宋_GBK"/>
          <w:sz w:val="30"/>
          <w:szCs w:val="30"/>
        </w:rPr>
        <w:t>2.</w:t>
      </w:r>
      <w:r w:rsidRPr="004E6648">
        <w:rPr>
          <w:rFonts w:ascii="方正仿宋_GBK" w:eastAsia="方正仿宋_GBK" w:cs="方正仿宋_GBK" w:hint="eastAsia"/>
          <w:sz w:val="30"/>
          <w:szCs w:val="30"/>
        </w:rPr>
        <w:t>申报人严格按照“填表说明及要求”填写《代表作同行专家鉴定意见表》，《代表作同行专家鉴定意见表》需</w:t>
      </w:r>
      <w:r w:rsidRPr="004E6648">
        <w:rPr>
          <w:rFonts w:ascii="方正仿宋_GBK" w:eastAsia="方正仿宋_GBK" w:cs="方正仿宋_GBK"/>
          <w:sz w:val="30"/>
          <w:szCs w:val="30"/>
        </w:rPr>
        <w:t>A4</w:t>
      </w:r>
      <w:r w:rsidRPr="004E6648">
        <w:rPr>
          <w:rFonts w:ascii="方正仿宋_GBK" w:eastAsia="方正仿宋_GBK" w:cs="方正仿宋_GBK" w:hint="eastAsia"/>
          <w:sz w:val="30"/>
          <w:szCs w:val="30"/>
        </w:rPr>
        <w:t>正反打印且统一装订成册，其中意见表内“代表作（</w:t>
      </w:r>
      <w:r w:rsidRPr="004E6648">
        <w:rPr>
          <w:rFonts w:ascii="方正仿宋_GBK" w:eastAsia="方正仿宋_GBK" w:cs="方正仿宋_GBK"/>
          <w:sz w:val="30"/>
          <w:szCs w:val="30"/>
        </w:rPr>
        <w:t>X</w:t>
      </w:r>
      <w:r w:rsidRPr="004E6648">
        <w:rPr>
          <w:rFonts w:ascii="方正仿宋_GBK" w:eastAsia="方正仿宋_GBK" w:cs="方正仿宋_GBK" w:hint="eastAsia"/>
          <w:sz w:val="30"/>
          <w:szCs w:val="30"/>
        </w:rPr>
        <w:t>）专家鉴定意见”表格根据实际提交鉴定的篇（部）数增减设置，</w:t>
      </w:r>
      <w:r w:rsidRPr="004E6648">
        <w:rPr>
          <w:rFonts w:ascii="方正仿宋_GBK" w:eastAsia="方正仿宋_GBK" w:cs="方正仿宋_GBK"/>
          <w:sz w:val="30"/>
          <w:szCs w:val="30"/>
        </w:rPr>
        <w:t xml:space="preserve"> </w:t>
      </w:r>
      <w:r w:rsidRPr="004E6648">
        <w:rPr>
          <w:rFonts w:ascii="方正仿宋_GBK" w:eastAsia="方正仿宋_GBK" w:cs="方正仿宋_GBK" w:hint="eastAsia"/>
          <w:sz w:val="30"/>
          <w:szCs w:val="30"/>
        </w:rPr>
        <w:t>“专家对代表作的鉴定结论意见（</w:t>
      </w:r>
      <w:r w:rsidRPr="004E6648">
        <w:rPr>
          <w:rFonts w:ascii="方正仿宋_GBK" w:eastAsia="方正仿宋_GBK" w:cs="方正仿宋_GBK"/>
          <w:sz w:val="30"/>
          <w:szCs w:val="30"/>
        </w:rPr>
        <w:t>B</w:t>
      </w:r>
      <w:r w:rsidRPr="004E6648">
        <w:rPr>
          <w:rFonts w:ascii="方正仿宋_GBK" w:eastAsia="方正仿宋_GBK" w:cs="方正仿宋_GBK" w:hint="eastAsia"/>
          <w:sz w:val="30"/>
          <w:szCs w:val="30"/>
        </w:rPr>
        <w:t>）”单独成页打印并插在相应位置。</w:t>
      </w:r>
    </w:p>
    <w:p w:rsidR="00331E56" w:rsidRPr="004E6648" w:rsidRDefault="00331E56" w:rsidP="00347452">
      <w:pPr>
        <w:spacing w:line="480" w:lineRule="exact"/>
        <w:ind w:firstLineChars="200" w:firstLine="600"/>
        <w:rPr>
          <w:rFonts w:ascii="方正仿宋_GBK" w:eastAsia="方正仿宋_GBK" w:cs="方正仿宋_GBK"/>
          <w:sz w:val="30"/>
          <w:szCs w:val="30"/>
        </w:rPr>
      </w:pPr>
      <w:r w:rsidRPr="004E6648">
        <w:rPr>
          <w:rFonts w:ascii="方正仿宋_GBK" w:eastAsia="方正仿宋_GBK" w:cs="方正仿宋_GBK"/>
          <w:sz w:val="30"/>
          <w:szCs w:val="30"/>
        </w:rPr>
        <w:t>3.</w:t>
      </w:r>
      <w:r w:rsidRPr="004E6648">
        <w:rPr>
          <w:rFonts w:ascii="方正仿宋_GBK" w:eastAsia="方正仿宋_GBK" w:cs="方正仿宋_GBK" w:hint="eastAsia"/>
          <w:sz w:val="30"/>
          <w:szCs w:val="30"/>
        </w:rPr>
        <w:t>代表作中凡是涉及申报人姓名、单位等中英文信息需覆盖后复印，与填写好的《代表作同行专家鉴定意见表》一起，一式叁份用牛皮纸信封分装后再统一装到一个档案袋中（档案袋及牛皮纸信封应选择结实耐用，且不允许体现任何单位或个人信息，档案袋封面用“代表作同行专家鉴定意见表”封面打印粘贴）。</w:t>
      </w:r>
    </w:p>
    <w:p w:rsidR="00331E56" w:rsidRPr="004E6648" w:rsidRDefault="00331E56" w:rsidP="00347452">
      <w:pPr>
        <w:spacing w:line="480" w:lineRule="exact"/>
        <w:ind w:firstLineChars="200" w:firstLine="600"/>
        <w:rPr>
          <w:rFonts w:ascii="方正仿宋_GBK" w:eastAsia="方正仿宋_GBK" w:cs="方正仿宋_GBK"/>
          <w:sz w:val="30"/>
          <w:szCs w:val="30"/>
        </w:rPr>
      </w:pPr>
      <w:r w:rsidRPr="004E6648">
        <w:rPr>
          <w:rFonts w:ascii="方正仿宋_GBK" w:eastAsia="方正仿宋_GBK" w:cs="方正仿宋_GBK"/>
          <w:sz w:val="30"/>
          <w:szCs w:val="30"/>
        </w:rPr>
        <w:t>4.</w:t>
      </w:r>
      <w:r w:rsidRPr="004E6648">
        <w:rPr>
          <w:rFonts w:ascii="方正仿宋_GBK" w:eastAsia="方正仿宋_GBK" w:cs="方正仿宋_GBK" w:hint="eastAsia"/>
          <w:sz w:val="30"/>
          <w:szCs w:val="30"/>
        </w:rPr>
        <w:t>同时提交《代表作同行专家鉴定及相似性检测登记表》、《巢湖学院代表作送鉴明细表》，</w:t>
      </w:r>
      <w:r w:rsidRPr="004E6648">
        <w:rPr>
          <w:rFonts w:ascii="方正仿宋_GBK" w:eastAsia="方正仿宋_GBK" w:cs="方正仿宋_GBK"/>
          <w:sz w:val="30"/>
          <w:szCs w:val="30"/>
        </w:rPr>
        <w:t>2017</w:t>
      </w:r>
      <w:r w:rsidRPr="004E6648">
        <w:rPr>
          <w:rFonts w:ascii="方正仿宋_GBK" w:eastAsia="方正仿宋_GBK" w:cs="方正仿宋_GBK" w:hint="eastAsia"/>
          <w:sz w:val="30"/>
          <w:szCs w:val="30"/>
        </w:rPr>
        <w:t>年</w:t>
      </w:r>
      <w:proofErr w:type="gramStart"/>
      <w:r w:rsidRPr="004E6648">
        <w:rPr>
          <w:rFonts w:ascii="方正仿宋_GBK" w:eastAsia="方正仿宋_GBK" w:cs="方正仿宋_GBK" w:hint="eastAsia"/>
          <w:sz w:val="30"/>
          <w:szCs w:val="30"/>
        </w:rPr>
        <w:t>已送鉴需在</w:t>
      </w:r>
      <w:proofErr w:type="gramEnd"/>
      <w:r w:rsidRPr="004E6648">
        <w:rPr>
          <w:rFonts w:ascii="方正仿宋_GBK" w:eastAsia="方正仿宋_GBK" w:cs="方正仿宋_GBK" w:hint="eastAsia"/>
          <w:sz w:val="30"/>
          <w:szCs w:val="30"/>
        </w:rPr>
        <w:t>表中“备注栏”注明。</w:t>
      </w:r>
    </w:p>
    <w:p w:rsidR="00331E56" w:rsidRPr="004E6648" w:rsidRDefault="00331E56" w:rsidP="00347452">
      <w:pPr>
        <w:spacing w:line="480" w:lineRule="exact"/>
        <w:ind w:firstLineChars="200" w:firstLine="600"/>
        <w:rPr>
          <w:rFonts w:ascii="方正仿宋_GBK" w:eastAsia="方正仿宋_GBK" w:cs="Times New Roman"/>
          <w:sz w:val="30"/>
          <w:szCs w:val="30"/>
        </w:rPr>
      </w:pPr>
      <w:r w:rsidRPr="004E6648">
        <w:rPr>
          <w:rFonts w:ascii="方正仿宋_GBK" w:eastAsia="方正仿宋_GBK" w:cs="方正仿宋_GBK" w:hint="eastAsia"/>
          <w:sz w:val="30"/>
          <w:szCs w:val="30"/>
        </w:rPr>
        <w:t>（二）相似性检测</w:t>
      </w:r>
    </w:p>
    <w:p w:rsidR="00331E56" w:rsidRPr="004E6648" w:rsidRDefault="00331E56" w:rsidP="00347452">
      <w:pPr>
        <w:spacing w:line="480" w:lineRule="exact"/>
        <w:ind w:firstLineChars="200" w:firstLine="600"/>
        <w:rPr>
          <w:rFonts w:ascii="方正仿宋_GBK" w:eastAsia="方正仿宋_GBK" w:cs="Times New Roman"/>
          <w:sz w:val="30"/>
          <w:szCs w:val="30"/>
        </w:rPr>
      </w:pPr>
      <w:r w:rsidRPr="004E6648">
        <w:rPr>
          <w:rFonts w:ascii="方正仿宋_GBK" w:eastAsia="方正仿宋_GBK" w:cs="方正仿宋_GBK"/>
          <w:sz w:val="30"/>
          <w:szCs w:val="30"/>
        </w:rPr>
        <w:lastRenderedPageBreak/>
        <w:t>1.</w:t>
      </w:r>
      <w:r w:rsidRPr="004E6648">
        <w:rPr>
          <w:rFonts w:ascii="方正仿宋_GBK" w:eastAsia="方正仿宋_GBK" w:cs="方正仿宋_GBK" w:hint="eastAsia"/>
          <w:sz w:val="30"/>
          <w:szCs w:val="30"/>
        </w:rPr>
        <w:t>申报人须提交代表作原始复印件（不需覆盖姓名、单位等信息，提供期刊封面、版权页、目录页、论文正文）和电子版（</w:t>
      </w:r>
      <w:r w:rsidRPr="004E6648">
        <w:rPr>
          <w:rFonts w:ascii="方正仿宋_GBK" w:eastAsia="方正仿宋_GBK" w:cs="方正仿宋_GBK"/>
          <w:sz w:val="30"/>
          <w:szCs w:val="30"/>
        </w:rPr>
        <w:t>PDF</w:t>
      </w:r>
      <w:r w:rsidRPr="004E6648">
        <w:rPr>
          <w:rFonts w:ascii="方正仿宋_GBK" w:eastAsia="方正仿宋_GBK" w:cs="方正仿宋_GBK" w:hint="eastAsia"/>
          <w:sz w:val="30"/>
          <w:szCs w:val="30"/>
        </w:rPr>
        <w:t>或</w:t>
      </w:r>
      <w:r w:rsidRPr="004E6648">
        <w:rPr>
          <w:rFonts w:ascii="方正仿宋_GBK" w:eastAsia="方正仿宋_GBK" w:cs="方正仿宋_GBK"/>
          <w:sz w:val="30"/>
          <w:szCs w:val="30"/>
        </w:rPr>
        <w:t>WORD</w:t>
      </w:r>
      <w:r w:rsidRPr="004E6648">
        <w:rPr>
          <w:rFonts w:ascii="方正仿宋_GBK" w:eastAsia="方正仿宋_GBK" w:cs="方正仿宋_GBK" w:hint="eastAsia"/>
          <w:sz w:val="30"/>
          <w:szCs w:val="30"/>
        </w:rPr>
        <w:t>格式均可，内容须与代表作原文一致）；</w:t>
      </w:r>
    </w:p>
    <w:p w:rsidR="00331E56" w:rsidRPr="004E6648" w:rsidRDefault="00331E56" w:rsidP="00347452">
      <w:pPr>
        <w:spacing w:line="480" w:lineRule="exact"/>
        <w:ind w:firstLineChars="200" w:firstLine="600"/>
        <w:rPr>
          <w:rFonts w:ascii="方正仿宋_GBK" w:eastAsia="方正仿宋_GBK" w:cs="Times New Roman"/>
          <w:sz w:val="30"/>
          <w:szCs w:val="30"/>
        </w:rPr>
      </w:pPr>
      <w:r w:rsidRPr="004E6648">
        <w:rPr>
          <w:rFonts w:ascii="方正仿宋_GBK" w:eastAsia="方正仿宋_GBK" w:cs="方正仿宋_GBK"/>
          <w:sz w:val="30"/>
          <w:szCs w:val="30"/>
        </w:rPr>
        <w:t>2.</w:t>
      </w:r>
      <w:r w:rsidRPr="004E6648">
        <w:rPr>
          <w:rFonts w:ascii="方正仿宋_GBK" w:eastAsia="方正仿宋_GBK" w:cs="方正仿宋_GBK" w:hint="eastAsia"/>
          <w:sz w:val="30"/>
          <w:szCs w:val="30"/>
        </w:rPr>
        <w:t>申报人填写《</w:t>
      </w:r>
      <w:r w:rsidR="009E08B5" w:rsidRPr="004E6648">
        <w:rPr>
          <w:rFonts w:ascii="方正仿宋_GBK" w:eastAsia="方正仿宋_GBK" w:cs="方正仿宋_GBK" w:hint="eastAsia"/>
          <w:sz w:val="30"/>
          <w:szCs w:val="30"/>
        </w:rPr>
        <w:t>代表作和论文论著相似</w:t>
      </w:r>
      <w:r w:rsidR="0077165A" w:rsidRPr="004E6648">
        <w:rPr>
          <w:rFonts w:ascii="方正仿宋_GBK" w:eastAsia="方正仿宋_GBK" w:cs="方正仿宋_GBK" w:hint="eastAsia"/>
          <w:sz w:val="30"/>
          <w:szCs w:val="30"/>
        </w:rPr>
        <w:t>性</w:t>
      </w:r>
      <w:r w:rsidR="009E08B5" w:rsidRPr="004E6648">
        <w:rPr>
          <w:rFonts w:ascii="方正仿宋_GBK" w:eastAsia="方正仿宋_GBK" w:cs="方正仿宋_GBK" w:hint="eastAsia"/>
          <w:sz w:val="30"/>
          <w:szCs w:val="30"/>
        </w:rPr>
        <w:t>检测结果一览</w:t>
      </w:r>
      <w:r w:rsidR="00152B80" w:rsidRPr="004E6648">
        <w:rPr>
          <w:rFonts w:ascii="方正仿宋_GBK" w:eastAsia="方正仿宋_GBK" w:cs="方正仿宋_GBK" w:hint="eastAsia"/>
          <w:sz w:val="30"/>
          <w:szCs w:val="30"/>
        </w:rPr>
        <w:t>表</w:t>
      </w:r>
      <w:r w:rsidRPr="004E6648">
        <w:rPr>
          <w:rFonts w:ascii="方正仿宋_GBK" w:eastAsia="方正仿宋_GBK" w:cs="方正仿宋_GBK" w:hint="eastAsia"/>
          <w:sz w:val="30"/>
          <w:szCs w:val="30"/>
        </w:rPr>
        <w:t>》，表中填写的论文（专著）题目、发表刊物（出版）、发表（出版）日期要准确无误，发表日期时间要具体到月，并包括《巢湖学院代表作送鉴明细表》中代表作，且一致。</w:t>
      </w:r>
    </w:p>
    <w:p w:rsidR="00331E56" w:rsidRPr="004E6648" w:rsidRDefault="00331E56" w:rsidP="00347452">
      <w:pPr>
        <w:spacing w:line="480" w:lineRule="exact"/>
        <w:ind w:firstLineChars="200" w:firstLine="600"/>
        <w:rPr>
          <w:rFonts w:ascii="方正仿宋_GBK" w:eastAsia="方正仿宋_GBK" w:cs="Times New Roman"/>
          <w:sz w:val="30"/>
          <w:szCs w:val="30"/>
        </w:rPr>
      </w:pPr>
      <w:r w:rsidRPr="004E6648">
        <w:rPr>
          <w:rFonts w:ascii="方正仿宋_GBK" w:eastAsia="方正仿宋_GBK" w:cs="方正仿宋_GBK"/>
          <w:sz w:val="30"/>
          <w:szCs w:val="30"/>
        </w:rPr>
        <w:t>3.</w:t>
      </w:r>
      <w:r w:rsidRPr="004E6648">
        <w:rPr>
          <w:rFonts w:ascii="方正仿宋_GBK" w:eastAsia="方正仿宋_GBK" w:cs="方正仿宋_GBK" w:hint="eastAsia"/>
          <w:sz w:val="30"/>
          <w:szCs w:val="30"/>
        </w:rPr>
        <w:t>代表作原始复印件与填写好的《</w:t>
      </w:r>
      <w:r w:rsidR="009E08B5" w:rsidRPr="004E6648">
        <w:rPr>
          <w:rFonts w:ascii="方正仿宋_GBK" w:eastAsia="方正仿宋_GBK" w:cs="方正仿宋_GBK" w:hint="eastAsia"/>
          <w:sz w:val="30"/>
          <w:szCs w:val="30"/>
        </w:rPr>
        <w:t>代表作和论文论著相似</w:t>
      </w:r>
      <w:r w:rsidR="0077165A" w:rsidRPr="004E6648">
        <w:rPr>
          <w:rFonts w:ascii="方正仿宋_GBK" w:eastAsia="方正仿宋_GBK" w:cs="方正仿宋_GBK" w:hint="eastAsia"/>
          <w:sz w:val="30"/>
          <w:szCs w:val="30"/>
        </w:rPr>
        <w:t>性</w:t>
      </w:r>
      <w:r w:rsidR="009E08B5" w:rsidRPr="004E6648">
        <w:rPr>
          <w:rFonts w:ascii="方正仿宋_GBK" w:eastAsia="方正仿宋_GBK" w:cs="方正仿宋_GBK" w:hint="eastAsia"/>
          <w:sz w:val="30"/>
          <w:szCs w:val="30"/>
        </w:rPr>
        <w:t>检测结果一览表</w:t>
      </w:r>
      <w:r w:rsidRPr="004E6648">
        <w:rPr>
          <w:rFonts w:ascii="方正仿宋_GBK" w:eastAsia="方正仿宋_GBK" w:cs="方正仿宋_GBK" w:hint="eastAsia"/>
          <w:sz w:val="30"/>
          <w:szCs w:val="30"/>
        </w:rPr>
        <w:t>》一起单独装袋，封面上填写单位、姓名及拟申报职务。《</w:t>
      </w:r>
      <w:r w:rsidR="009E08B5" w:rsidRPr="004E6648">
        <w:rPr>
          <w:rFonts w:ascii="方正仿宋_GBK" w:eastAsia="方正仿宋_GBK" w:cs="方正仿宋_GBK" w:hint="eastAsia"/>
          <w:sz w:val="30"/>
          <w:szCs w:val="30"/>
        </w:rPr>
        <w:t>代表作和论文论著相似</w:t>
      </w:r>
      <w:r w:rsidR="0077165A" w:rsidRPr="004E6648">
        <w:rPr>
          <w:rFonts w:ascii="方正仿宋_GBK" w:eastAsia="方正仿宋_GBK" w:cs="方正仿宋_GBK" w:hint="eastAsia"/>
          <w:sz w:val="30"/>
          <w:szCs w:val="30"/>
        </w:rPr>
        <w:t>性</w:t>
      </w:r>
      <w:r w:rsidR="009E08B5" w:rsidRPr="004E6648">
        <w:rPr>
          <w:rFonts w:ascii="方正仿宋_GBK" w:eastAsia="方正仿宋_GBK" w:cs="方正仿宋_GBK" w:hint="eastAsia"/>
          <w:sz w:val="30"/>
          <w:szCs w:val="30"/>
        </w:rPr>
        <w:t>检测结果一览表</w:t>
      </w:r>
      <w:r w:rsidRPr="004E6648">
        <w:rPr>
          <w:rFonts w:ascii="方正仿宋_GBK" w:eastAsia="方正仿宋_GBK" w:cs="方正仿宋_GBK" w:hint="eastAsia"/>
          <w:sz w:val="30"/>
          <w:szCs w:val="30"/>
        </w:rPr>
        <w:t>》中检测结果、重合字数、文献总字数由科技处根据检测结果统一填写并盖章。</w:t>
      </w:r>
    </w:p>
    <w:p w:rsidR="00331E56" w:rsidRPr="004E6648" w:rsidRDefault="00331E56" w:rsidP="00347452">
      <w:pPr>
        <w:spacing w:line="480" w:lineRule="exact"/>
        <w:ind w:firstLineChars="200" w:firstLine="602"/>
        <w:rPr>
          <w:rFonts w:ascii="方正仿宋_GBK" w:eastAsia="方正仿宋_GBK" w:cs="Times New Roman"/>
          <w:b/>
          <w:bCs/>
          <w:sz w:val="30"/>
          <w:szCs w:val="30"/>
        </w:rPr>
      </w:pPr>
      <w:r w:rsidRPr="004E6648">
        <w:rPr>
          <w:rFonts w:ascii="方正仿宋_GBK" w:eastAsia="方正仿宋_GBK" w:cs="方正仿宋_GBK" w:hint="eastAsia"/>
          <w:b/>
          <w:bCs/>
          <w:sz w:val="30"/>
          <w:szCs w:val="30"/>
        </w:rPr>
        <w:t>三、注意事项</w:t>
      </w:r>
    </w:p>
    <w:p w:rsidR="00331E56" w:rsidRPr="004E6648" w:rsidRDefault="00331E56" w:rsidP="00347452">
      <w:pPr>
        <w:spacing w:line="480" w:lineRule="exact"/>
        <w:ind w:firstLineChars="200" w:firstLine="600"/>
        <w:rPr>
          <w:rFonts w:ascii="方正仿宋_GBK" w:eastAsia="方正仿宋_GBK" w:cs="Times New Roman"/>
          <w:sz w:val="30"/>
          <w:szCs w:val="30"/>
        </w:rPr>
      </w:pPr>
      <w:r w:rsidRPr="004E6648">
        <w:rPr>
          <w:rFonts w:ascii="方正仿宋_GBK" w:eastAsia="方正仿宋_GBK" w:cs="方正仿宋_GBK" w:hint="eastAsia"/>
          <w:sz w:val="30"/>
          <w:szCs w:val="30"/>
        </w:rPr>
        <w:t>（一）</w:t>
      </w:r>
      <w:r w:rsidRPr="004E6648">
        <w:rPr>
          <w:rFonts w:ascii="方正仿宋_GBK" w:eastAsia="方正仿宋_GBK" w:cs="方正仿宋_GBK" w:hint="eastAsia"/>
          <w:color w:val="000000"/>
          <w:sz w:val="30"/>
          <w:szCs w:val="30"/>
        </w:rPr>
        <w:t>提交代表作同行专家鉴定和相似</w:t>
      </w:r>
      <w:r w:rsidR="0077165A" w:rsidRPr="004E6648">
        <w:rPr>
          <w:rFonts w:ascii="方正仿宋_GBK" w:eastAsia="方正仿宋_GBK" w:cs="方正仿宋_GBK" w:hint="eastAsia"/>
          <w:color w:val="000000"/>
          <w:sz w:val="30"/>
          <w:szCs w:val="30"/>
        </w:rPr>
        <w:t>性</w:t>
      </w:r>
      <w:r w:rsidRPr="004E6648">
        <w:rPr>
          <w:rFonts w:ascii="方正仿宋_GBK" w:eastAsia="方正仿宋_GBK" w:cs="方正仿宋_GBK" w:hint="eastAsia"/>
          <w:color w:val="000000"/>
          <w:sz w:val="30"/>
          <w:szCs w:val="30"/>
        </w:rPr>
        <w:t>检测的成果（如论文等）须保持一致。</w:t>
      </w:r>
    </w:p>
    <w:p w:rsidR="00331E56" w:rsidRPr="004E6648" w:rsidRDefault="00331E56" w:rsidP="00347452">
      <w:pPr>
        <w:spacing w:line="480" w:lineRule="exact"/>
        <w:ind w:firstLineChars="200" w:firstLine="600"/>
        <w:rPr>
          <w:rFonts w:ascii="方正仿宋_GBK" w:eastAsia="方正仿宋_GBK" w:cs="Times New Roman"/>
          <w:sz w:val="30"/>
          <w:szCs w:val="30"/>
        </w:rPr>
      </w:pPr>
      <w:r w:rsidRPr="004E6648">
        <w:rPr>
          <w:rFonts w:ascii="方正仿宋_GBK" w:eastAsia="方正仿宋_GBK" w:cs="方正仿宋_GBK" w:hint="eastAsia"/>
          <w:sz w:val="30"/>
          <w:szCs w:val="30"/>
        </w:rPr>
        <w:t>（二）代表作同行专家鉴定意见及相似</w:t>
      </w:r>
      <w:r w:rsidR="0077165A" w:rsidRPr="004E6648">
        <w:rPr>
          <w:rFonts w:ascii="方正仿宋_GBK" w:eastAsia="方正仿宋_GBK" w:cs="方正仿宋_GBK" w:hint="eastAsia"/>
          <w:sz w:val="30"/>
          <w:szCs w:val="30"/>
        </w:rPr>
        <w:t>性</w:t>
      </w:r>
      <w:r w:rsidRPr="004E6648">
        <w:rPr>
          <w:rFonts w:ascii="方正仿宋_GBK" w:eastAsia="方正仿宋_GBK" w:cs="方正仿宋_GBK" w:hint="eastAsia"/>
          <w:sz w:val="30"/>
          <w:szCs w:val="30"/>
        </w:rPr>
        <w:t>检测结果将作为评审推荐的重要参考。</w:t>
      </w:r>
    </w:p>
    <w:p w:rsidR="00331E56" w:rsidRPr="004E6648" w:rsidRDefault="00331E56" w:rsidP="00347452">
      <w:pPr>
        <w:spacing w:line="480" w:lineRule="exact"/>
        <w:ind w:firstLineChars="200" w:firstLine="600"/>
        <w:rPr>
          <w:rFonts w:ascii="方正仿宋_GBK" w:eastAsia="方正仿宋_GBK" w:cs="Times New Roman"/>
          <w:color w:val="000000"/>
          <w:sz w:val="30"/>
          <w:szCs w:val="30"/>
        </w:rPr>
      </w:pPr>
      <w:r w:rsidRPr="004E6648">
        <w:rPr>
          <w:rFonts w:ascii="方正仿宋_GBK" w:eastAsia="方正仿宋_GBK" w:cs="方正仿宋_GBK" w:hint="eastAsia"/>
          <w:sz w:val="30"/>
          <w:szCs w:val="30"/>
        </w:rPr>
        <w:t>（三）代表作同行专家鉴定意见和相似</w:t>
      </w:r>
      <w:r w:rsidR="0077165A" w:rsidRPr="004E6648">
        <w:rPr>
          <w:rFonts w:ascii="方正仿宋_GBK" w:eastAsia="方正仿宋_GBK" w:cs="方正仿宋_GBK" w:hint="eastAsia"/>
          <w:sz w:val="30"/>
          <w:szCs w:val="30"/>
        </w:rPr>
        <w:t>性</w:t>
      </w:r>
      <w:r w:rsidRPr="004E6648">
        <w:rPr>
          <w:rFonts w:ascii="方正仿宋_GBK" w:eastAsia="方正仿宋_GBK" w:cs="方正仿宋_GBK" w:hint="eastAsia"/>
          <w:sz w:val="30"/>
          <w:szCs w:val="30"/>
        </w:rPr>
        <w:t>检测结果（文字复制比）有效期</w:t>
      </w:r>
      <w:r w:rsidRPr="004E6648">
        <w:rPr>
          <w:rFonts w:ascii="方正仿宋_GBK" w:eastAsia="方正仿宋_GBK" w:cs="方正仿宋_GBK"/>
          <w:sz w:val="30"/>
          <w:szCs w:val="30"/>
        </w:rPr>
        <w:t>2</w:t>
      </w:r>
      <w:r w:rsidRPr="004E6648">
        <w:rPr>
          <w:rFonts w:ascii="方正仿宋_GBK" w:eastAsia="方正仿宋_GBK" w:cs="方正仿宋_GBK" w:hint="eastAsia"/>
          <w:sz w:val="30"/>
          <w:szCs w:val="30"/>
        </w:rPr>
        <w:t>年。</w:t>
      </w:r>
      <w:r w:rsidRPr="004E6648">
        <w:rPr>
          <w:rFonts w:ascii="方正仿宋_GBK" w:eastAsia="方正仿宋_GBK" w:cs="方正仿宋_GBK" w:hint="eastAsia"/>
          <w:color w:val="000000"/>
          <w:sz w:val="30"/>
          <w:szCs w:val="30"/>
        </w:rPr>
        <w:t>代表作同行专家鉴定每年只许送审一次，不得重复送审、重新送审，更不得更改送审结果，否则将追究相关人员的责任。</w:t>
      </w:r>
    </w:p>
    <w:p w:rsidR="00331E56" w:rsidRPr="004E6648" w:rsidRDefault="00331E56" w:rsidP="00347452">
      <w:pPr>
        <w:spacing w:line="480" w:lineRule="exact"/>
        <w:ind w:firstLineChars="200" w:firstLine="600"/>
        <w:rPr>
          <w:rFonts w:ascii="方正仿宋_GBK" w:eastAsia="方正仿宋_GBK" w:cs="方正仿宋_GBK"/>
          <w:sz w:val="30"/>
          <w:szCs w:val="30"/>
        </w:rPr>
      </w:pPr>
      <w:r w:rsidRPr="004E6648">
        <w:rPr>
          <w:rFonts w:ascii="方正仿宋_GBK" w:eastAsia="方正仿宋_GBK" w:cs="方正仿宋_GBK" w:hint="eastAsia"/>
          <w:sz w:val="30"/>
          <w:szCs w:val="30"/>
        </w:rPr>
        <w:t>（四）</w:t>
      </w:r>
      <w:r w:rsidR="00D35639" w:rsidRPr="004E6648">
        <w:rPr>
          <w:rFonts w:ascii="方正仿宋_GBK" w:eastAsia="方正仿宋_GBK" w:cs="方正仿宋_GBK" w:hint="eastAsia"/>
          <w:sz w:val="30"/>
          <w:szCs w:val="30"/>
        </w:rPr>
        <w:t>20</w:t>
      </w:r>
      <w:r w:rsidRPr="004E6648">
        <w:rPr>
          <w:rFonts w:ascii="方正仿宋_GBK" w:eastAsia="方正仿宋_GBK" w:cs="方正仿宋_GBK"/>
          <w:sz w:val="30"/>
          <w:szCs w:val="30"/>
        </w:rPr>
        <w:t>17</w:t>
      </w:r>
      <w:r w:rsidR="00D35639" w:rsidRPr="004E6648">
        <w:rPr>
          <w:rFonts w:ascii="方正仿宋_GBK" w:eastAsia="方正仿宋_GBK" w:cs="方正仿宋_GBK" w:hint="eastAsia"/>
          <w:sz w:val="30"/>
          <w:szCs w:val="30"/>
        </w:rPr>
        <w:t>年已送代表作鉴定人员自愿选择是否重新送鉴，鉴定结果</w:t>
      </w:r>
      <w:r w:rsidRPr="004E6648">
        <w:rPr>
          <w:rFonts w:ascii="方正仿宋_GBK" w:eastAsia="方正仿宋_GBK" w:cs="方正仿宋_GBK" w:hint="eastAsia"/>
          <w:sz w:val="30"/>
          <w:szCs w:val="30"/>
        </w:rPr>
        <w:t>结论均为尚未达到的成果，不得再提交送检。</w:t>
      </w:r>
    </w:p>
    <w:p w:rsidR="00331E56" w:rsidRPr="004E6648" w:rsidRDefault="00331E56" w:rsidP="00347452">
      <w:pPr>
        <w:spacing w:line="480" w:lineRule="exact"/>
        <w:rPr>
          <w:rFonts w:ascii="方正仿宋_GBK" w:eastAsia="方正仿宋_GBK" w:cs="方正仿宋_GBK"/>
          <w:sz w:val="30"/>
          <w:szCs w:val="30"/>
        </w:rPr>
      </w:pPr>
      <w:r w:rsidRPr="004E6648">
        <w:rPr>
          <w:rFonts w:ascii="方正仿宋_GBK" w:eastAsia="方正仿宋_GBK" w:cs="方正仿宋_GBK"/>
          <w:sz w:val="30"/>
          <w:szCs w:val="30"/>
        </w:rPr>
        <w:t xml:space="preserve"> </w:t>
      </w:r>
    </w:p>
    <w:p w:rsidR="00331E56" w:rsidRPr="004E6648" w:rsidRDefault="00331E56" w:rsidP="00347452">
      <w:pPr>
        <w:spacing w:line="480" w:lineRule="exact"/>
        <w:rPr>
          <w:rFonts w:ascii="方正仿宋_GBK" w:eastAsia="方正仿宋_GBK" w:cs="Times New Roman"/>
          <w:sz w:val="30"/>
          <w:szCs w:val="30"/>
        </w:rPr>
      </w:pPr>
      <w:r w:rsidRPr="004E6648">
        <w:rPr>
          <w:rFonts w:ascii="方正仿宋_GBK" w:eastAsia="方正仿宋_GBK" w:cs="方正仿宋_GBK" w:hint="eastAsia"/>
          <w:sz w:val="30"/>
          <w:szCs w:val="30"/>
        </w:rPr>
        <w:t>附件：</w:t>
      </w:r>
      <w:r w:rsidRPr="004E6648">
        <w:rPr>
          <w:rFonts w:ascii="方正仿宋_GBK" w:eastAsia="方正仿宋_GBK" w:cs="方正仿宋_GBK"/>
          <w:sz w:val="30"/>
          <w:szCs w:val="30"/>
        </w:rPr>
        <w:t>1.</w:t>
      </w:r>
      <w:r w:rsidRPr="004E6648">
        <w:rPr>
          <w:rFonts w:ascii="方正仿宋_GBK" w:eastAsia="方正仿宋_GBK" w:cs="方正仿宋_GBK" w:hint="eastAsia"/>
          <w:sz w:val="30"/>
          <w:szCs w:val="30"/>
        </w:rPr>
        <w:t>代表作同行专家鉴定意见表</w:t>
      </w:r>
    </w:p>
    <w:p w:rsidR="00331E56" w:rsidRPr="004E6648" w:rsidRDefault="00331E56" w:rsidP="00347452">
      <w:pPr>
        <w:spacing w:line="480" w:lineRule="exact"/>
        <w:ind w:firstLineChars="300" w:firstLine="900"/>
        <w:rPr>
          <w:rFonts w:ascii="方正仿宋_GBK" w:eastAsia="方正仿宋_GBK" w:cs="方正仿宋_GBK"/>
          <w:sz w:val="30"/>
          <w:szCs w:val="30"/>
        </w:rPr>
      </w:pPr>
      <w:r w:rsidRPr="004E6648">
        <w:rPr>
          <w:rFonts w:ascii="方正仿宋_GBK" w:eastAsia="方正仿宋_GBK" w:cs="方正仿宋_GBK"/>
          <w:sz w:val="30"/>
          <w:szCs w:val="30"/>
        </w:rPr>
        <w:t>2.</w:t>
      </w:r>
      <w:r w:rsidRPr="004E6648">
        <w:rPr>
          <w:rFonts w:ascii="方正仿宋_GBK" w:eastAsia="方正仿宋_GBK" w:cs="方正仿宋_GBK" w:hint="eastAsia"/>
          <w:sz w:val="30"/>
          <w:szCs w:val="30"/>
        </w:rPr>
        <w:t>巢湖学院</w:t>
      </w:r>
      <w:proofErr w:type="gramStart"/>
      <w:r w:rsidRPr="004E6648">
        <w:rPr>
          <w:rFonts w:ascii="方正仿宋_GBK" w:eastAsia="方正仿宋_GBK" w:cs="方正仿宋_GBK" w:hint="eastAsia"/>
          <w:sz w:val="30"/>
          <w:szCs w:val="30"/>
        </w:rPr>
        <w:t>代表作送鉴明细表</w:t>
      </w:r>
      <w:proofErr w:type="gramEnd"/>
    </w:p>
    <w:p w:rsidR="00331E56" w:rsidRPr="004E6648" w:rsidRDefault="00331E56" w:rsidP="00347452">
      <w:pPr>
        <w:spacing w:line="480" w:lineRule="exact"/>
        <w:ind w:firstLineChars="300" w:firstLine="900"/>
        <w:rPr>
          <w:rFonts w:ascii="方正仿宋_GBK" w:eastAsia="方正仿宋_GBK" w:cs="方正仿宋_GBK"/>
          <w:sz w:val="30"/>
          <w:szCs w:val="30"/>
        </w:rPr>
      </w:pPr>
      <w:r w:rsidRPr="004E6648">
        <w:rPr>
          <w:rFonts w:ascii="方正仿宋_GBK" w:eastAsia="方正仿宋_GBK" w:cs="方正仿宋_GBK"/>
          <w:sz w:val="30"/>
          <w:szCs w:val="30"/>
        </w:rPr>
        <w:t>3.</w:t>
      </w:r>
      <w:r w:rsidRPr="004E6648">
        <w:rPr>
          <w:rFonts w:ascii="方正仿宋_GBK" w:eastAsia="方正仿宋_GBK" w:cs="方正仿宋_GBK" w:hint="eastAsia"/>
          <w:sz w:val="30"/>
          <w:szCs w:val="30"/>
        </w:rPr>
        <w:t>代表作同行专家鉴定及相似</w:t>
      </w:r>
      <w:r w:rsidR="009E08B5" w:rsidRPr="004E6648">
        <w:rPr>
          <w:rFonts w:ascii="方正仿宋_GBK" w:eastAsia="方正仿宋_GBK" w:cs="方正仿宋_GBK" w:hint="eastAsia"/>
          <w:sz w:val="30"/>
          <w:szCs w:val="30"/>
        </w:rPr>
        <w:t>性</w:t>
      </w:r>
      <w:r w:rsidRPr="004E6648">
        <w:rPr>
          <w:rFonts w:ascii="方正仿宋_GBK" w:eastAsia="方正仿宋_GBK" w:cs="方正仿宋_GBK" w:hint="eastAsia"/>
          <w:sz w:val="30"/>
          <w:szCs w:val="30"/>
        </w:rPr>
        <w:t>检测登记表</w:t>
      </w:r>
    </w:p>
    <w:p w:rsidR="009E08B5" w:rsidRPr="004E6648" w:rsidRDefault="00331E56" w:rsidP="00347452">
      <w:pPr>
        <w:spacing w:line="480" w:lineRule="exact"/>
        <w:ind w:firstLineChars="300" w:firstLine="900"/>
        <w:jc w:val="left"/>
        <w:rPr>
          <w:rFonts w:ascii="方正小标宋_GBK" w:eastAsia="方正小标宋_GBK"/>
          <w:sz w:val="30"/>
          <w:szCs w:val="30"/>
        </w:rPr>
      </w:pPr>
      <w:r w:rsidRPr="004E6648">
        <w:rPr>
          <w:rFonts w:ascii="方正仿宋_GBK" w:eastAsia="方正仿宋_GBK" w:cs="方正仿宋_GBK"/>
          <w:sz w:val="30"/>
          <w:szCs w:val="30"/>
        </w:rPr>
        <w:t>4.</w:t>
      </w:r>
      <w:r w:rsidR="009E08B5" w:rsidRPr="004E6648">
        <w:rPr>
          <w:rFonts w:ascii="方正仿宋_GBK" w:eastAsia="方正仿宋_GBK" w:cs="方正仿宋_GBK" w:hint="eastAsia"/>
          <w:sz w:val="30"/>
          <w:szCs w:val="30"/>
        </w:rPr>
        <w:t>代表作和论文论著相似</w:t>
      </w:r>
      <w:r w:rsidR="0077165A" w:rsidRPr="004E6648">
        <w:rPr>
          <w:rFonts w:ascii="方正仿宋_GBK" w:eastAsia="方正仿宋_GBK" w:cs="方正仿宋_GBK" w:hint="eastAsia"/>
          <w:sz w:val="30"/>
          <w:szCs w:val="30"/>
        </w:rPr>
        <w:t>性</w:t>
      </w:r>
      <w:r w:rsidR="009E08B5" w:rsidRPr="004E6648">
        <w:rPr>
          <w:rFonts w:ascii="方正仿宋_GBK" w:eastAsia="方正仿宋_GBK" w:cs="方正仿宋_GBK" w:hint="eastAsia"/>
          <w:sz w:val="30"/>
          <w:szCs w:val="30"/>
        </w:rPr>
        <w:t>检测结果一览表</w:t>
      </w:r>
    </w:p>
    <w:sectPr w:rsidR="009E08B5" w:rsidRPr="004E6648" w:rsidSect="003E2509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35BC" w:rsidRDefault="00E435BC" w:rsidP="00A702DD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E435BC" w:rsidRDefault="00E435BC" w:rsidP="00A702DD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35BC" w:rsidRDefault="00E435BC" w:rsidP="00A702DD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E435BC" w:rsidRDefault="00E435BC" w:rsidP="00A702DD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E56" w:rsidRDefault="00331E56" w:rsidP="009E08B5">
    <w:pPr>
      <w:pStyle w:val="a7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5FE2"/>
    <w:rsid w:val="00007379"/>
    <w:rsid w:val="0004137D"/>
    <w:rsid w:val="000A5385"/>
    <w:rsid w:val="000A61F4"/>
    <w:rsid w:val="000B186C"/>
    <w:rsid w:val="000D21E3"/>
    <w:rsid w:val="00100DEB"/>
    <w:rsid w:val="00152B80"/>
    <w:rsid w:val="001A265E"/>
    <w:rsid w:val="001C687C"/>
    <w:rsid w:val="001D027A"/>
    <w:rsid w:val="001D7584"/>
    <w:rsid w:val="001F48B4"/>
    <w:rsid w:val="00242992"/>
    <w:rsid w:val="00255345"/>
    <w:rsid w:val="00274072"/>
    <w:rsid w:val="00292754"/>
    <w:rsid w:val="00293088"/>
    <w:rsid w:val="002971A1"/>
    <w:rsid w:val="002B7C2E"/>
    <w:rsid w:val="002F3B93"/>
    <w:rsid w:val="002F4F56"/>
    <w:rsid w:val="0032450D"/>
    <w:rsid w:val="00330076"/>
    <w:rsid w:val="00331E56"/>
    <w:rsid w:val="00347452"/>
    <w:rsid w:val="003A0402"/>
    <w:rsid w:val="003B02A9"/>
    <w:rsid w:val="003D31B6"/>
    <w:rsid w:val="003E2509"/>
    <w:rsid w:val="003E384A"/>
    <w:rsid w:val="003E60F8"/>
    <w:rsid w:val="00452367"/>
    <w:rsid w:val="00467B6E"/>
    <w:rsid w:val="0048034D"/>
    <w:rsid w:val="00480BB8"/>
    <w:rsid w:val="004B309E"/>
    <w:rsid w:val="004B3780"/>
    <w:rsid w:val="004E6648"/>
    <w:rsid w:val="00506F64"/>
    <w:rsid w:val="0054744C"/>
    <w:rsid w:val="005A05EE"/>
    <w:rsid w:val="005A28E5"/>
    <w:rsid w:val="005A7BC0"/>
    <w:rsid w:val="005B6F8E"/>
    <w:rsid w:val="00646C94"/>
    <w:rsid w:val="006B475C"/>
    <w:rsid w:val="006D137E"/>
    <w:rsid w:val="006D7ECC"/>
    <w:rsid w:val="00747018"/>
    <w:rsid w:val="0077165A"/>
    <w:rsid w:val="007766CF"/>
    <w:rsid w:val="0079790F"/>
    <w:rsid w:val="007A524F"/>
    <w:rsid w:val="0082020B"/>
    <w:rsid w:val="00841CD0"/>
    <w:rsid w:val="008D2B77"/>
    <w:rsid w:val="009136DF"/>
    <w:rsid w:val="00924E71"/>
    <w:rsid w:val="00944658"/>
    <w:rsid w:val="0097260C"/>
    <w:rsid w:val="00985E44"/>
    <w:rsid w:val="00995FE2"/>
    <w:rsid w:val="009D3FD4"/>
    <w:rsid w:val="009E08B5"/>
    <w:rsid w:val="009E0A91"/>
    <w:rsid w:val="009F481F"/>
    <w:rsid w:val="00A138B2"/>
    <w:rsid w:val="00A219A2"/>
    <w:rsid w:val="00A438E6"/>
    <w:rsid w:val="00A702DD"/>
    <w:rsid w:val="00A71B40"/>
    <w:rsid w:val="00AB58A6"/>
    <w:rsid w:val="00B001C8"/>
    <w:rsid w:val="00B04566"/>
    <w:rsid w:val="00B06C4A"/>
    <w:rsid w:val="00B3711A"/>
    <w:rsid w:val="00B47B72"/>
    <w:rsid w:val="00B8477F"/>
    <w:rsid w:val="00B958A7"/>
    <w:rsid w:val="00BE390E"/>
    <w:rsid w:val="00BE6706"/>
    <w:rsid w:val="00BF2594"/>
    <w:rsid w:val="00C33BE0"/>
    <w:rsid w:val="00C41FA7"/>
    <w:rsid w:val="00C429C5"/>
    <w:rsid w:val="00C42E78"/>
    <w:rsid w:val="00C53491"/>
    <w:rsid w:val="00C95292"/>
    <w:rsid w:val="00CC3AEC"/>
    <w:rsid w:val="00CD6384"/>
    <w:rsid w:val="00CE75CC"/>
    <w:rsid w:val="00D17291"/>
    <w:rsid w:val="00D31406"/>
    <w:rsid w:val="00D35639"/>
    <w:rsid w:val="00D43BDA"/>
    <w:rsid w:val="00DC5FB4"/>
    <w:rsid w:val="00E435BC"/>
    <w:rsid w:val="00E9550C"/>
    <w:rsid w:val="00EC5373"/>
    <w:rsid w:val="00ED16F0"/>
    <w:rsid w:val="00F92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509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B7C2E"/>
    <w:rPr>
      <w:rFonts w:cs="Times New Roman"/>
      <w:sz w:val="21"/>
      <w:szCs w:val="21"/>
    </w:rPr>
  </w:style>
  <w:style w:type="paragraph" w:styleId="a4">
    <w:name w:val="annotation text"/>
    <w:basedOn w:val="a"/>
    <w:link w:val="Char"/>
    <w:uiPriority w:val="99"/>
    <w:semiHidden/>
    <w:rsid w:val="002B7C2E"/>
    <w:pPr>
      <w:jc w:val="left"/>
    </w:pPr>
  </w:style>
  <w:style w:type="character" w:customStyle="1" w:styleId="Char">
    <w:name w:val="批注文字 Char"/>
    <w:basedOn w:val="a0"/>
    <w:link w:val="a4"/>
    <w:uiPriority w:val="99"/>
    <w:semiHidden/>
    <w:locked/>
    <w:rsid w:val="009F481F"/>
    <w:rPr>
      <w:rFonts w:cs="Times New Roman"/>
      <w:sz w:val="21"/>
      <w:szCs w:val="21"/>
    </w:rPr>
  </w:style>
  <w:style w:type="paragraph" w:styleId="a5">
    <w:name w:val="annotation subject"/>
    <w:basedOn w:val="a4"/>
    <w:next w:val="a4"/>
    <w:link w:val="Char0"/>
    <w:uiPriority w:val="99"/>
    <w:semiHidden/>
    <w:rsid w:val="002B7C2E"/>
    <w:rPr>
      <w:b/>
      <w:bCs/>
    </w:rPr>
  </w:style>
  <w:style w:type="character" w:customStyle="1" w:styleId="Char0">
    <w:name w:val="批注主题 Char"/>
    <w:basedOn w:val="Char"/>
    <w:link w:val="a5"/>
    <w:uiPriority w:val="99"/>
    <w:semiHidden/>
    <w:locked/>
    <w:rsid w:val="009F481F"/>
    <w:rPr>
      <w:b/>
      <w:bCs/>
    </w:rPr>
  </w:style>
  <w:style w:type="paragraph" w:styleId="a6">
    <w:name w:val="Balloon Text"/>
    <w:basedOn w:val="a"/>
    <w:link w:val="Char1"/>
    <w:uiPriority w:val="99"/>
    <w:semiHidden/>
    <w:rsid w:val="002B7C2E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locked/>
    <w:rsid w:val="009F481F"/>
    <w:rPr>
      <w:rFonts w:cs="Times New Roman"/>
      <w:sz w:val="2"/>
      <w:szCs w:val="2"/>
    </w:rPr>
  </w:style>
  <w:style w:type="paragraph" w:styleId="a7">
    <w:name w:val="header"/>
    <w:basedOn w:val="a"/>
    <w:link w:val="Char2"/>
    <w:uiPriority w:val="99"/>
    <w:semiHidden/>
    <w:rsid w:val="00A702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7"/>
    <w:uiPriority w:val="99"/>
    <w:semiHidden/>
    <w:locked/>
    <w:rsid w:val="00A702DD"/>
    <w:rPr>
      <w:rFonts w:cs="Times New Roman"/>
      <w:sz w:val="18"/>
      <w:szCs w:val="18"/>
    </w:rPr>
  </w:style>
  <w:style w:type="paragraph" w:styleId="a8">
    <w:name w:val="footer"/>
    <w:basedOn w:val="a"/>
    <w:link w:val="Char3"/>
    <w:uiPriority w:val="99"/>
    <w:semiHidden/>
    <w:rsid w:val="00A702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8"/>
    <w:uiPriority w:val="99"/>
    <w:semiHidden/>
    <w:locked/>
    <w:rsid w:val="00A702DD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3604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4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182</Words>
  <Characters>1040</Characters>
  <Application>Microsoft Office Word</Application>
  <DocSecurity>0</DocSecurity>
  <Lines>8</Lines>
  <Paragraphs>2</Paragraphs>
  <ScaleCrop>false</ScaleCrop>
  <Company>人事处</Company>
  <LinksUpToDate>false</LinksUpToDate>
  <CharactersWithSpaces>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关于开展2017年度教师、实验系列高级专业技术资格代表作鉴定工作的预通知</dc:title>
  <dc:subject/>
  <dc:creator>吴兵</dc:creator>
  <cp:keywords/>
  <dc:description/>
  <cp:lastModifiedBy>孙冰</cp:lastModifiedBy>
  <cp:revision>16</cp:revision>
  <cp:lastPrinted>2018-07-11T06:57:00Z</cp:lastPrinted>
  <dcterms:created xsi:type="dcterms:W3CDTF">2018-07-03T08:38:00Z</dcterms:created>
  <dcterms:modified xsi:type="dcterms:W3CDTF">2018-07-13T02:34:00Z</dcterms:modified>
</cp:coreProperties>
</file>